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it-IT"/>
        </w:rPr>
      </w:pP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>1999/2019  20</w:t>
      </w:r>
      <w:r>
        <w:rPr>
          <w:rFonts w:ascii="Calibri" w:hAnsi="Calibri" w:hint="default"/>
          <w:i w:val="1"/>
          <w:iCs w:val="1"/>
          <w:sz w:val="20"/>
          <w:szCs w:val="20"/>
          <w:u w:color="000000"/>
          <w:rtl w:val="0"/>
          <w:lang w:val="it-IT"/>
        </w:rPr>
        <w:t xml:space="preserve">° </w:t>
      </w:r>
      <w:r>
        <w:rPr>
          <w:rFonts w:ascii="Calibri" w:hAnsi="Calibri"/>
          <w:i w:val="1"/>
          <w:iCs w:val="1"/>
          <w:sz w:val="20"/>
          <w:szCs w:val="20"/>
          <w:u w:color="000000"/>
          <w:rtl w:val="0"/>
          <w:lang w:val="it-IT"/>
        </w:rPr>
        <w:t xml:space="preserve">ANNIVERSARIO DELLA FONDAZIONE DI CITTASLOW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Comunicato stampa</w:t>
        <w:tab/>
        <w:tab/>
        <w:tab/>
        <w:tab/>
        <w:tab/>
        <w:tab/>
        <w:tab/>
        <w:tab/>
        <w:t>Orvieto, 14.01.19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IL GIAPPONE ALLA SCOPERTA DEI  VALORI E DEI PROGETTI DI CITTASLOW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ndale Mono" w:cs="Andale Mono" w:hAnsi="Andale Mono" w:eastAsia="Andale Mono"/>
          <w:sz w:val="18"/>
          <w:szCs w:val="18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Nei prossimi dieci giorni saranno in visita ad Orvieto presso la Sede di Cittaslow International due diverse delegazioni guidate da professori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Universit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Ryukoku di Kyoto e 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Universit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Tokyo-Nodai, Dipartimento di Bioindustry</w:t>
      </w:r>
      <w:r>
        <w:rPr>
          <w:rFonts w:ascii="Andale Mono" w:hAnsi="Andale Mono"/>
          <w:sz w:val="18"/>
          <w:szCs w:val="18"/>
          <w:u w:color="000000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rtl w:val="0"/>
          <w:lang w:val="it-IT"/>
        </w:rPr>
        <w:br w:type="textWrapping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Principi, progetti e metodologie gi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applicate in Umbria, in Italia e in Europa nei diversi territori, interessano sempre pi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anche i paesi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Estremo Oriente, e il Giappone non fa eccezione, dopo Sud Corea, Cina, Taiwan e presto Vietnam. La Sede di Cittaslow Internazionale a Palazzo dei Sette in Orvieto, ospiter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 met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settimana per prima la professoressa Naoko Oishi, docente in Scienze Politiche alla Ryukoku University in Kyoto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(JAP) e prof. Associata al Politecnico di Bari, DICAR. La professoressa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interessata all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evolversi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Associazione Cittaslow, alle strategie gi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attuate e a quelle da attuare in futuro, alle modalit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sviluppo, certificazione e organizzazione: importante sar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condividere i casi di studio e le buone pratiche nei diversi settori, i margini di miglioramento delle performance socio-economiche nelle citt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che si associano, la partecipazione di base dei cittadini. Proprio il Giappone, una delle economie post fordiste pi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importanti e mature del mondo, come punto di criticit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vede oltre il 40% del proprio territorio rurale e periferico (le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aree interne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giapponesi) sottoposto a erosione demografica (in inglese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shiriking communities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”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), ovvero ad una massiccia perdita di popolazione che si va poi a concentrare nelle megalopoli. Cittaslow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anche un modo per arginare la desertificazione sociale, riequilibrare lo sviluppo e ridurre 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impronta ecologica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…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che per 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area Tokyo-Kyoto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37 volte la sua superficie.   A seguire la settimana prossima saranno ad Orvieto anche la Professoressa Harumo Muto,  in qualit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coordinatrice di un gruppo di professori 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Universit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Tokyo,  Myoda Takao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(Facolt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Agricoltura), Sasaki Jun(Facolt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Bioindustry), Yamazaki Masao(Dipartimento Food, Aroma and Cosmetic Chemistry) e Yamazaki Nina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(Laboratory of Bioresources Utilization), Midoro Tomoyuki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(Dipartimento of Business, Natural Resources and Economic Development), accompagnati da venti studenti e ricercatori.  La delegazione giapponese 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particolarmente interessato alle modalit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 sviluppo delle zone rurali e incontrer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un gruppo aperto di agricoltori e artigiani locali: gli appartenenti a queste due categorie interessati a partecipare all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incontro, contattino la Segreteria di Cittaslow International, 0763341818 </w: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it-IT"/>
        </w:rPr>
        <w:instrText xml:space="preserve"> HYPERLINK "mailto:info@cittaslow.net"</w:instrText>
      </w:r>
      <w:r>
        <w:rPr>
          <w:rStyle w:val="Hyperlink.0"/>
          <w:rFonts w:ascii="Calibri" w:cs="Calibri" w:hAnsi="Calibri" w:eastAsia="Calibri"/>
          <w:color w:val="0000ff"/>
          <w:sz w:val="24"/>
          <w:szCs w:val="24"/>
          <w:u w:color="0000ff"/>
          <w:rtl w:val="0"/>
          <w:lang w:val="it-IT"/>
        </w:rPr>
        <w:fldChar w:fldCharType="separate" w:fldLock="0"/>
      </w:r>
      <w:r>
        <w:rPr>
          <w:rStyle w:val="Hyperlink.0"/>
          <w:rFonts w:ascii="Calibri" w:hAnsi="Calibri"/>
          <w:color w:val="0000ff"/>
          <w:sz w:val="24"/>
          <w:szCs w:val="24"/>
          <w:u w:color="0000ff"/>
          <w:rtl w:val="0"/>
          <w:lang w:val="it-IT"/>
        </w:rPr>
        <w:t>info@cittaslow.net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w:fldChar w:fldCharType="end" w:fldLock="0"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entro Luned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21 Gennaio p.v.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color w:val="e7501f"/>
          <w:u w:color="e7501f"/>
          <w:rtl w:val="0"/>
          <w:lang w:val="it-IT"/>
        </w:rPr>
      </w:pPr>
      <w:r>
        <w:rPr>
          <w:rFonts w:ascii="Helvetica" w:hAnsi="Helvetica"/>
          <w:color w:val="e7501f"/>
          <w:u w:color="e7501f"/>
          <w:rtl w:val="0"/>
          <w:lang w:val="it-IT"/>
        </w:rPr>
        <w:t>CITTASLOW INTERNATIONAL Headquarters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color w:val="e7501f"/>
          <w:u w:color="e7501f"/>
          <w:rtl w:val="0"/>
          <w:lang w:val="it-IT"/>
        </w:rPr>
      </w:pPr>
      <w:r>
        <w:rPr>
          <w:rFonts w:ascii="Helvetica" w:hAnsi="Helvetica" w:hint="default"/>
          <w:color w:val="e7501f"/>
          <w:u w:color="e7501f"/>
          <w:rtl w:val="0"/>
          <w:lang w:val="it-IT"/>
        </w:rPr>
        <w:t>………………………………………………………………………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color w:val="e7501f"/>
          <w:u w:color="e7501f"/>
          <w:rtl w:val="0"/>
          <w:lang w:val="it-IT"/>
        </w:rPr>
      </w:pPr>
      <w:r>
        <w:rPr>
          <w:rFonts w:ascii="Helvetica" w:hAnsi="Helvetica"/>
          <w:color w:val="e7501f"/>
          <w:u w:color="e7501f"/>
          <w:rtl w:val="0"/>
          <w:lang w:val="it-IT"/>
        </w:rPr>
        <w:t>HQ / Sede Centrale Palazzo dei Sette, Corso Cavour,87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color w:val="e7501f"/>
          <w:u w:color="e7501f"/>
          <w:rtl w:val="0"/>
          <w:lang w:val="it-IT"/>
        </w:rPr>
      </w:pPr>
      <w:r>
        <w:rPr>
          <w:rFonts w:ascii="Helvetica" w:hAnsi="Helvetica"/>
          <w:color w:val="e7501f"/>
          <w:u w:color="e7501f"/>
          <w:rtl w:val="0"/>
          <w:lang w:val="it-IT"/>
        </w:rPr>
        <w:t>Legal HQ c/o Comune di Orvieto, via Garibaldi,8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" w:cs="Helvetica" w:hAnsi="Helvetica" w:eastAsia="Helvetica"/>
          <w:color w:val="e7501f"/>
          <w:u w:color="e7501f"/>
          <w:rtl w:val="0"/>
          <w:lang w:val="it-IT"/>
        </w:rPr>
      </w:pPr>
      <w:r>
        <w:rPr>
          <w:rFonts w:ascii="Helvetica" w:hAnsi="Helvetica"/>
          <w:color w:val="e7501f"/>
          <w:u w:color="e7501f"/>
          <w:rtl w:val="0"/>
          <w:lang w:val="it-IT"/>
        </w:rPr>
        <w:t>I-05018 Orvieto (TR)</w:t>
      </w:r>
      <w:r>
        <w:rPr>
          <w:rFonts w:ascii="Helvetica" w:hAnsi="Helvetica" w:hint="default"/>
          <w:color w:val="e7501f"/>
          <w:u w:color="e7501f"/>
          <w:rtl w:val="0"/>
          <w:lang w:val="it-IT"/>
        </w:rPr>
        <w:t xml:space="preserve">– </w:t>
      </w:r>
      <w:r>
        <w:rPr>
          <w:rFonts w:ascii="Helvetica" w:hAnsi="Helvetica"/>
          <w:color w:val="e7501f"/>
          <w:u w:color="e7501f"/>
          <w:rtl w:val="0"/>
          <w:lang w:val="it-IT"/>
        </w:rPr>
        <w:t>Italy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Hyperlink.2"/>
          <w:rFonts w:ascii="Helvetica" w:cs="Helvetica" w:hAnsi="Helvetica" w:eastAsia="Helvetica"/>
          <w:color w:val="e7501f"/>
          <w:u w:val="single" w:color="0000ff"/>
          <w:rtl w:val="0"/>
          <w:lang w:val="en-US"/>
        </w:rPr>
      </w:pPr>
      <w:r>
        <w:rPr>
          <w:rFonts w:ascii="Helvetica" w:hAnsi="Helvetica"/>
          <w:color w:val="e7501f"/>
          <w:u w:val="single" w:color="0000ff"/>
          <w:rtl w:val="0"/>
          <w:lang w:val="en-US"/>
        </w:rPr>
        <w:t xml:space="preserve">ph. +39 0763341818 </w:t>
      </w:r>
      <w:r>
        <w:rPr>
          <w:rStyle w:val="Hyperlink.1"/>
          <w:rFonts w:ascii="Helvetica" w:cs="Helvetica" w:hAnsi="Helvetica" w:eastAsia="Helvetica"/>
          <w:color w:val="0000ff"/>
          <w:u w:color="0000ff"/>
          <w:rtl w:val="0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0000ff"/>
          <w:u w:color="0000ff"/>
          <w:rtl w:val="0"/>
          <w:lang w:val="en-US"/>
        </w:rPr>
        <w:instrText xml:space="preserve"> HYPERLINK "mailto:info@cittaslow.net"</w:instrText>
      </w:r>
      <w:r>
        <w:rPr>
          <w:rStyle w:val="Hyperlink.1"/>
          <w:rFonts w:ascii="Helvetica" w:cs="Helvetica" w:hAnsi="Helvetica" w:eastAsia="Helvetica"/>
          <w:color w:val="0000ff"/>
          <w:u w:color="0000ff"/>
          <w:rtl w:val="0"/>
          <w:lang w:val="en-US"/>
        </w:rPr>
        <w:fldChar w:fldCharType="separate" w:fldLock="0"/>
      </w:r>
      <w:r>
        <w:rPr>
          <w:rStyle w:val="Hyperlink.1"/>
          <w:rFonts w:ascii="Helvetica" w:hAnsi="Helvetica"/>
          <w:color w:val="0000ff"/>
          <w:u w:color="0000ff"/>
          <w:rtl w:val="0"/>
          <w:lang w:val="en-US"/>
        </w:rPr>
        <w:t>info@cittaslow.net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  <w:r>
        <w:rPr>
          <w:rFonts w:ascii="Helvetica" w:hAnsi="Helvetica"/>
          <w:color w:val="e7501f"/>
          <w:u w:val="single" w:color="0000ff"/>
          <w:rtl w:val="0"/>
          <w:lang w:val="en-US"/>
        </w:rPr>
        <w:t xml:space="preserve"> </w:t>
      </w:r>
      <w:r>
        <w:rPr>
          <w:rStyle w:val="Hyperlink.2"/>
          <w:rFonts w:ascii="Helvetica" w:cs="Helvetica" w:hAnsi="Helvetica" w:eastAsia="Helvetica"/>
          <w:color w:val="e7501f"/>
          <w:u w:val="single" w:color="0000ff"/>
          <w:rtl w:val="0"/>
          <w:lang w:val="en-US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e7501f"/>
          <w:u w:val="single" w:color="0000ff"/>
          <w:rtl w:val="0"/>
          <w:lang w:val="en-US"/>
        </w:rPr>
        <w:instrText xml:space="preserve"> HYPERLINK "http://www.cittaslow.org/"</w:instrText>
      </w:r>
      <w:r>
        <w:rPr>
          <w:rStyle w:val="Hyperlink.2"/>
          <w:rFonts w:ascii="Helvetica" w:cs="Helvetica" w:hAnsi="Helvetica" w:eastAsia="Helvetica"/>
          <w:color w:val="e7501f"/>
          <w:u w:val="single" w:color="0000ff"/>
          <w:rtl w:val="0"/>
          <w:lang w:val="en-US"/>
        </w:rPr>
        <w:fldChar w:fldCharType="separate" w:fldLock="0"/>
      </w:r>
      <w:r>
        <w:rPr>
          <w:rStyle w:val="Hyperlink.2"/>
          <w:rFonts w:ascii="Helvetica" w:hAnsi="Helvetica"/>
          <w:color w:val="e7501f"/>
          <w:u w:val="single" w:color="0000ff"/>
          <w:rtl w:val="0"/>
          <w:lang w:val="en-US"/>
        </w:rPr>
        <w:t>www.cittaslow.org</w:t>
      </w:r>
      <w:r>
        <w:rPr>
          <w:rFonts w:ascii="Calibri" w:cs="Calibri" w:hAnsi="Calibri" w:eastAsia="Calibri"/>
          <w:u w:color="000000"/>
          <w:rtl w:val="0"/>
          <w:lang w:val="en-US"/>
        </w:rPr>
        <w:fldChar w:fldCharType="end" w:fldLock="0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Style w:val="Nessuno"/>
          <w:rFonts w:ascii="Helvetica" w:hAnsi="Helvetica" w:hint="default"/>
          <w:color w:val="e7501f"/>
          <w:u w:color="0000ff"/>
          <w:rtl w:val="0"/>
          <w:lang w:val="it-IT"/>
        </w:rPr>
        <w:t>…………………………………………………………………………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ndale Mo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662048" cy="6068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vettorial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48" cy="6068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character" w:styleId="Hyperlink.1">
    <w:name w:val="Hyperlink.1"/>
    <w:basedOn w:val="Link"/>
    <w:next w:val="Hyperlink.1"/>
    <w:rPr>
      <w:color w:val="0000ff"/>
      <w:u w:color="0000ff"/>
    </w:rPr>
  </w:style>
  <w:style w:type="character" w:styleId="Nessuno">
    <w:name w:val="Nessuno"/>
  </w:style>
  <w:style w:type="character" w:styleId="Hyperlink.2">
    <w:name w:val="Hyperlink.2"/>
    <w:basedOn w:val="Nessuno"/>
    <w:next w:val="Hyperlink.2"/>
    <w:rPr>
      <w:color w:val="e7501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